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DFBC2" w14:textId="77777777" w:rsidR="004541DF" w:rsidRPr="004541DF" w:rsidRDefault="004541DF" w:rsidP="004541DF">
      <w:pPr>
        <w:shd w:val="clear" w:color="auto" w:fill="FFFFFF"/>
        <w:spacing w:after="240" w:line="240" w:lineRule="auto"/>
        <w:rPr>
          <w:rFonts w:ascii="Lucida Sans Unicode" w:eastAsia="Times New Roman" w:hAnsi="Lucida Sans Unicode" w:cs="Lucida Sans Unicode"/>
          <w:color w:val="202122"/>
          <w:spacing w:val="3"/>
          <w:sz w:val="29"/>
          <w:szCs w:val="29"/>
        </w:rPr>
      </w:pPr>
      <w:r w:rsidRPr="004541DF">
        <w:rPr>
          <w:rFonts w:ascii="Lucida Sans Unicode" w:eastAsia="Times New Roman" w:hAnsi="Lucida Sans Unicode" w:cs="Lucida Sans Unicode"/>
          <w:b/>
          <w:bCs/>
          <w:color w:val="202122"/>
          <w:spacing w:val="3"/>
          <w:sz w:val="29"/>
          <w:szCs w:val="29"/>
        </w:rPr>
        <w:t>Mini Case:</w:t>
      </w:r>
    </w:p>
    <w:p w14:paraId="3C3FF6D3" w14:textId="77777777" w:rsidR="004541DF" w:rsidRPr="004541DF" w:rsidRDefault="004541DF" w:rsidP="004541DF">
      <w:pPr>
        <w:shd w:val="clear" w:color="auto" w:fill="FFFFFF"/>
        <w:spacing w:before="120" w:after="240" w:line="240" w:lineRule="auto"/>
        <w:rPr>
          <w:rFonts w:ascii="Lucida Sans Unicode" w:eastAsia="Times New Roman" w:hAnsi="Lucida Sans Unicode" w:cs="Lucida Sans Unicode"/>
          <w:color w:val="202122"/>
          <w:spacing w:val="3"/>
          <w:sz w:val="29"/>
          <w:szCs w:val="29"/>
        </w:rPr>
      </w:pPr>
      <w:r w:rsidRPr="004541DF">
        <w:rPr>
          <w:rFonts w:ascii="Lucida Sans Unicode" w:eastAsia="Times New Roman" w:hAnsi="Lucida Sans Unicode" w:cs="Lucida Sans Unicode"/>
          <w:b/>
          <w:bCs/>
          <w:color w:val="202122"/>
          <w:spacing w:val="3"/>
          <w:sz w:val="29"/>
          <w:szCs w:val="29"/>
        </w:rPr>
        <w:t>Nuke Energy Inc.'s Capital Structure Decision</w:t>
      </w:r>
    </w:p>
    <w:p w14:paraId="7CECE313" w14:textId="77777777" w:rsidR="004541DF" w:rsidRPr="004541DF" w:rsidRDefault="004541DF" w:rsidP="004541DF">
      <w:pPr>
        <w:shd w:val="clear" w:color="auto" w:fill="FFFFFF"/>
        <w:spacing w:before="120" w:after="240" w:line="240" w:lineRule="auto"/>
        <w:rPr>
          <w:rFonts w:ascii="Lucida Sans Unicode" w:eastAsia="Times New Roman" w:hAnsi="Lucida Sans Unicode" w:cs="Lucida Sans Unicode"/>
          <w:color w:val="202122"/>
          <w:spacing w:val="3"/>
          <w:sz w:val="29"/>
          <w:szCs w:val="29"/>
        </w:rPr>
      </w:pPr>
      <w:r w:rsidRPr="004541DF">
        <w:rPr>
          <w:rFonts w:ascii="Lucida Sans Unicode" w:eastAsia="Times New Roman" w:hAnsi="Lucida Sans Unicode" w:cs="Lucida Sans Unicode"/>
          <w:b/>
          <w:bCs/>
          <w:color w:val="202122"/>
          <w:spacing w:val="3"/>
          <w:sz w:val="29"/>
          <w:szCs w:val="29"/>
        </w:rPr>
        <w:t>Background:</w:t>
      </w:r>
      <w:r w:rsidRPr="004541DF">
        <w:rPr>
          <w:rFonts w:ascii="Lucida Sans Unicode" w:eastAsia="Times New Roman" w:hAnsi="Lucida Sans Unicode" w:cs="Lucida Sans Unicode"/>
          <w:color w:val="202122"/>
          <w:spacing w:val="3"/>
          <w:sz w:val="29"/>
          <w:szCs w:val="29"/>
        </w:rPr>
        <w:br/>
        <w:t>Nuke Energy Inc., a battery company based in British Columbia (BC), has established a strong position in the energy sector with its diverse range of portable batteries for the consumer technology market. The company is now considering expanding its production capacity, which involves raising an additional $150 million to construct a new factory in Langley. At this crucial juncture, the CEO and CFO are responsible for providing recommendations to the board regarding capital structure and evaluating capital options.</w:t>
      </w:r>
    </w:p>
    <w:p w14:paraId="26D05BB8" w14:textId="77777777" w:rsidR="004541DF" w:rsidRPr="004541DF" w:rsidRDefault="004541DF" w:rsidP="004541DF">
      <w:pPr>
        <w:shd w:val="clear" w:color="auto" w:fill="FFFFFF"/>
        <w:spacing w:before="120" w:after="240" w:line="240" w:lineRule="auto"/>
        <w:rPr>
          <w:rFonts w:ascii="Lucida Sans Unicode" w:eastAsia="Times New Roman" w:hAnsi="Lucida Sans Unicode" w:cs="Lucida Sans Unicode"/>
          <w:color w:val="202122"/>
          <w:spacing w:val="3"/>
          <w:sz w:val="29"/>
          <w:szCs w:val="29"/>
        </w:rPr>
      </w:pPr>
      <w:r w:rsidRPr="004541DF">
        <w:rPr>
          <w:rFonts w:ascii="Lucida Sans Unicode" w:eastAsia="Times New Roman" w:hAnsi="Lucida Sans Unicode" w:cs="Lucida Sans Unicode"/>
          <w:b/>
          <w:bCs/>
          <w:color w:val="202122"/>
          <w:spacing w:val="3"/>
          <w:sz w:val="29"/>
          <w:szCs w:val="29"/>
        </w:rPr>
        <w:t>Capital Structure Analysis:</w:t>
      </w:r>
      <w:r w:rsidRPr="004541DF">
        <w:rPr>
          <w:rFonts w:ascii="Lucida Sans Unicode" w:eastAsia="Times New Roman" w:hAnsi="Lucida Sans Unicode" w:cs="Lucida Sans Unicode"/>
          <w:color w:val="202122"/>
          <w:spacing w:val="3"/>
          <w:sz w:val="29"/>
          <w:szCs w:val="29"/>
        </w:rPr>
        <w:br/>
        <w:t>Currently, Nuke Energy Inc. operates with a capital structure of 70% equity and 30% debt, with the equity consisting of 200,000 common shares. The company is contemplating adjusting its capital structure to 40% equity and 60% debt, believing this shift could reduce its overall cost of capital.</w:t>
      </w:r>
    </w:p>
    <w:p w14:paraId="225B7996" w14:textId="77777777" w:rsidR="004541DF" w:rsidRPr="004541DF" w:rsidRDefault="004541DF" w:rsidP="004541DF">
      <w:pPr>
        <w:shd w:val="clear" w:color="auto" w:fill="FFFFFF"/>
        <w:spacing w:before="120" w:after="240" w:line="240" w:lineRule="auto"/>
        <w:rPr>
          <w:rFonts w:ascii="Lucida Sans Unicode" w:eastAsia="Times New Roman" w:hAnsi="Lucida Sans Unicode" w:cs="Lucida Sans Unicode"/>
          <w:color w:val="202122"/>
          <w:spacing w:val="3"/>
          <w:sz w:val="29"/>
          <w:szCs w:val="29"/>
        </w:rPr>
      </w:pPr>
      <w:r w:rsidRPr="004541DF">
        <w:rPr>
          <w:rFonts w:ascii="Lucida Sans Unicode" w:eastAsia="Times New Roman" w:hAnsi="Lucida Sans Unicode" w:cs="Lucida Sans Unicode"/>
          <w:b/>
          <w:bCs/>
          <w:color w:val="202122"/>
          <w:spacing w:val="3"/>
          <w:sz w:val="29"/>
          <w:szCs w:val="29"/>
        </w:rPr>
        <w:t>Additional Information:</w:t>
      </w:r>
    </w:p>
    <w:p w14:paraId="2A543DDE" w14:textId="77777777" w:rsidR="004541DF" w:rsidRPr="004541DF" w:rsidRDefault="004541DF" w:rsidP="004541DF">
      <w:pPr>
        <w:numPr>
          <w:ilvl w:val="0"/>
          <w:numId w:val="1"/>
        </w:numPr>
        <w:shd w:val="clear" w:color="auto" w:fill="FFFFFF"/>
        <w:spacing w:before="100" w:beforeAutospacing="1" w:after="100" w:afterAutospacing="1" w:line="240" w:lineRule="auto"/>
        <w:ind w:left="0"/>
        <w:rPr>
          <w:rFonts w:ascii="Lucida Sans Unicode" w:eastAsia="Times New Roman" w:hAnsi="Lucida Sans Unicode" w:cs="Lucida Sans Unicode"/>
          <w:color w:val="202122"/>
          <w:spacing w:val="3"/>
          <w:sz w:val="29"/>
          <w:szCs w:val="29"/>
        </w:rPr>
      </w:pPr>
      <w:r w:rsidRPr="004541DF">
        <w:rPr>
          <w:rFonts w:ascii="Lucida Sans Unicode" w:eastAsia="Times New Roman" w:hAnsi="Lucida Sans Unicode" w:cs="Lucida Sans Unicode"/>
          <w:b/>
          <w:bCs/>
          <w:color w:val="202122"/>
          <w:spacing w:val="3"/>
          <w:sz w:val="29"/>
          <w:szCs w:val="29"/>
        </w:rPr>
        <w:t>Beta:</w:t>
      </w:r>
      <w:r w:rsidRPr="004541DF">
        <w:rPr>
          <w:rFonts w:ascii="Lucida Sans Unicode" w:eastAsia="Times New Roman" w:hAnsi="Lucida Sans Unicode" w:cs="Lucida Sans Unicode"/>
          <w:color w:val="202122"/>
          <w:spacing w:val="3"/>
          <w:sz w:val="29"/>
          <w:szCs w:val="29"/>
        </w:rPr>
        <w:t> 1.2</w:t>
      </w:r>
    </w:p>
    <w:p w14:paraId="7CD64756" w14:textId="77777777" w:rsidR="004541DF" w:rsidRPr="004541DF" w:rsidRDefault="004541DF" w:rsidP="004541DF">
      <w:pPr>
        <w:numPr>
          <w:ilvl w:val="0"/>
          <w:numId w:val="1"/>
        </w:numPr>
        <w:shd w:val="clear" w:color="auto" w:fill="FFFFFF"/>
        <w:spacing w:before="100" w:beforeAutospacing="1" w:after="100" w:afterAutospacing="1" w:line="240" w:lineRule="auto"/>
        <w:ind w:left="0"/>
        <w:rPr>
          <w:rFonts w:ascii="Lucida Sans Unicode" w:eastAsia="Times New Roman" w:hAnsi="Lucida Sans Unicode" w:cs="Lucida Sans Unicode"/>
          <w:color w:val="202122"/>
          <w:spacing w:val="3"/>
          <w:sz w:val="29"/>
          <w:szCs w:val="29"/>
        </w:rPr>
      </w:pPr>
      <w:r w:rsidRPr="004541DF">
        <w:rPr>
          <w:rFonts w:ascii="Lucida Sans Unicode" w:eastAsia="Times New Roman" w:hAnsi="Lucida Sans Unicode" w:cs="Lucida Sans Unicode"/>
          <w:b/>
          <w:bCs/>
          <w:color w:val="202122"/>
          <w:spacing w:val="3"/>
          <w:sz w:val="29"/>
          <w:szCs w:val="29"/>
        </w:rPr>
        <w:t>20-Year Bond:</w:t>
      </w:r>
      <w:r w:rsidRPr="004541DF">
        <w:rPr>
          <w:rFonts w:ascii="Lucida Sans Unicode" w:eastAsia="Times New Roman" w:hAnsi="Lucida Sans Unicode" w:cs="Lucida Sans Unicode"/>
          <w:color w:val="202122"/>
          <w:spacing w:val="3"/>
          <w:sz w:val="29"/>
          <w:szCs w:val="29"/>
        </w:rPr>
        <w:t> Trading at $990 with a semi-annual coupon rate of 5%</w:t>
      </w:r>
    </w:p>
    <w:p w14:paraId="437B9857" w14:textId="77777777" w:rsidR="004541DF" w:rsidRPr="004541DF" w:rsidRDefault="004541DF" w:rsidP="004541DF">
      <w:pPr>
        <w:numPr>
          <w:ilvl w:val="0"/>
          <w:numId w:val="1"/>
        </w:numPr>
        <w:shd w:val="clear" w:color="auto" w:fill="FFFFFF"/>
        <w:spacing w:before="100" w:beforeAutospacing="1" w:after="100" w:afterAutospacing="1" w:line="240" w:lineRule="auto"/>
        <w:ind w:left="0"/>
        <w:rPr>
          <w:rFonts w:ascii="Lucida Sans Unicode" w:eastAsia="Times New Roman" w:hAnsi="Lucida Sans Unicode" w:cs="Lucida Sans Unicode"/>
          <w:color w:val="202122"/>
          <w:spacing w:val="3"/>
          <w:sz w:val="29"/>
          <w:szCs w:val="29"/>
        </w:rPr>
      </w:pPr>
      <w:r w:rsidRPr="004541DF">
        <w:rPr>
          <w:rFonts w:ascii="Lucida Sans Unicode" w:eastAsia="Times New Roman" w:hAnsi="Lucida Sans Unicode" w:cs="Lucida Sans Unicode"/>
          <w:b/>
          <w:bCs/>
          <w:color w:val="202122"/>
          <w:spacing w:val="3"/>
          <w:sz w:val="29"/>
          <w:szCs w:val="29"/>
        </w:rPr>
        <w:t>Corporate Tax Rate:</w:t>
      </w:r>
      <w:r w:rsidRPr="004541DF">
        <w:rPr>
          <w:rFonts w:ascii="Lucida Sans Unicode" w:eastAsia="Times New Roman" w:hAnsi="Lucida Sans Unicode" w:cs="Lucida Sans Unicode"/>
          <w:color w:val="202122"/>
          <w:spacing w:val="3"/>
          <w:sz w:val="29"/>
          <w:szCs w:val="29"/>
        </w:rPr>
        <w:t> 30%</w:t>
      </w:r>
    </w:p>
    <w:p w14:paraId="7790233C" w14:textId="77777777" w:rsidR="004541DF" w:rsidRPr="004541DF" w:rsidRDefault="004541DF" w:rsidP="004541DF">
      <w:pPr>
        <w:numPr>
          <w:ilvl w:val="0"/>
          <w:numId w:val="1"/>
        </w:numPr>
        <w:shd w:val="clear" w:color="auto" w:fill="FFFFFF"/>
        <w:spacing w:before="100" w:beforeAutospacing="1" w:after="100" w:afterAutospacing="1" w:line="240" w:lineRule="auto"/>
        <w:ind w:left="0"/>
        <w:rPr>
          <w:rFonts w:ascii="Lucida Sans Unicode" w:eastAsia="Times New Roman" w:hAnsi="Lucida Sans Unicode" w:cs="Lucida Sans Unicode"/>
          <w:color w:val="202122"/>
          <w:spacing w:val="3"/>
          <w:sz w:val="29"/>
          <w:szCs w:val="29"/>
        </w:rPr>
      </w:pPr>
      <w:r w:rsidRPr="004541DF">
        <w:rPr>
          <w:rFonts w:ascii="Lucida Sans Unicode" w:eastAsia="Times New Roman" w:hAnsi="Lucida Sans Unicode" w:cs="Lucida Sans Unicode"/>
          <w:b/>
          <w:bCs/>
          <w:color w:val="202122"/>
          <w:spacing w:val="3"/>
          <w:sz w:val="29"/>
          <w:szCs w:val="29"/>
        </w:rPr>
        <w:t>Market Risk Premium:</w:t>
      </w:r>
      <w:r w:rsidRPr="004541DF">
        <w:rPr>
          <w:rFonts w:ascii="Lucida Sans Unicode" w:eastAsia="Times New Roman" w:hAnsi="Lucida Sans Unicode" w:cs="Lucida Sans Unicode"/>
          <w:color w:val="202122"/>
          <w:spacing w:val="3"/>
          <w:sz w:val="29"/>
          <w:szCs w:val="29"/>
        </w:rPr>
        <w:t> 10%</w:t>
      </w:r>
    </w:p>
    <w:p w14:paraId="6FA4A8A2" w14:textId="77777777" w:rsidR="004541DF" w:rsidRPr="004541DF" w:rsidRDefault="004541DF" w:rsidP="004541DF">
      <w:pPr>
        <w:numPr>
          <w:ilvl w:val="0"/>
          <w:numId w:val="1"/>
        </w:numPr>
        <w:shd w:val="clear" w:color="auto" w:fill="FFFFFF"/>
        <w:spacing w:before="100" w:beforeAutospacing="1" w:after="100" w:afterAutospacing="1" w:line="240" w:lineRule="auto"/>
        <w:ind w:left="0"/>
        <w:rPr>
          <w:rFonts w:ascii="Lucida Sans Unicode" w:eastAsia="Times New Roman" w:hAnsi="Lucida Sans Unicode" w:cs="Lucida Sans Unicode"/>
          <w:color w:val="202122"/>
          <w:spacing w:val="3"/>
          <w:sz w:val="29"/>
          <w:szCs w:val="29"/>
        </w:rPr>
      </w:pPr>
      <w:r w:rsidRPr="004541DF">
        <w:rPr>
          <w:rFonts w:ascii="Lucida Sans Unicode" w:eastAsia="Times New Roman" w:hAnsi="Lucida Sans Unicode" w:cs="Lucida Sans Unicode"/>
          <w:b/>
          <w:bCs/>
          <w:color w:val="202122"/>
          <w:spacing w:val="3"/>
          <w:sz w:val="29"/>
          <w:szCs w:val="29"/>
        </w:rPr>
        <w:t>Risk-Free Rate:</w:t>
      </w:r>
      <w:r w:rsidRPr="004541DF">
        <w:rPr>
          <w:rFonts w:ascii="Lucida Sans Unicode" w:eastAsia="Times New Roman" w:hAnsi="Lucida Sans Unicode" w:cs="Lucida Sans Unicode"/>
          <w:color w:val="202122"/>
          <w:spacing w:val="3"/>
          <w:sz w:val="29"/>
          <w:szCs w:val="29"/>
        </w:rPr>
        <w:t> 4%</w:t>
      </w:r>
    </w:p>
    <w:p w14:paraId="1AE6482A" w14:textId="77777777" w:rsidR="004541DF" w:rsidRPr="004541DF" w:rsidRDefault="004541DF" w:rsidP="004541DF">
      <w:pPr>
        <w:shd w:val="clear" w:color="auto" w:fill="FFFFFF"/>
        <w:spacing w:before="120" w:after="240" w:line="240" w:lineRule="auto"/>
        <w:rPr>
          <w:rFonts w:ascii="Lucida Sans Unicode" w:eastAsia="Times New Roman" w:hAnsi="Lucida Sans Unicode" w:cs="Lucida Sans Unicode"/>
          <w:color w:val="202122"/>
          <w:spacing w:val="3"/>
          <w:sz w:val="29"/>
          <w:szCs w:val="29"/>
        </w:rPr>
      </w:pPr>
      <w:r w:rsidRPr="004541DF">
        <w:rPr>
          <w:rFonts w:ascii="Lucida Sans Unicode" w:eastAsia="Times New Roman" w:hAnsi="Lucida Sans Unicode" w:cs="Lucida Sans Unicode"/>
          <w:b/>
          <w:bCs/>
          <w:color w:val="202122"/>
          <w:spacing w:val="3"/>
          <w:sz w:val="29"/>
          <w:szCs w:val="29"/>
        </w:rPr>
        <w:lastRenderedPageBreak/>
        <w:t>Requirements:</w:t>
      </w:r>
    </w:p>
    <w:p w14:paraId="0F6B29BC" w14:textId="77777777" w:rsidR="004541DF" w:rsidRPr="004541DF" w:rsidRDefault="004541DF" w:rsidP="004541DF">
      <w:pPr>
        <w:numPr>
          <w:ilvl w:val="0"/>
          <w:numId w:val="2"/>
        </w:numPr>
        <w:shd w:val="clear" w:color="auto" w:fill="FFFFFF"/>
        <w:spacing w:before="100" w:beforeAutospacing="1" w:after="100" w:afterAutospacing="1" w:line="240" w:lineRule="auto"/>
        <w:ind w:left="0"/>
        <w:rPr>
          <w:rFonts w:ascii="Lucida Sans Unicode" w:eastAsia="Times New Roman" w:hAnsi="Lucida Sans Unicode" w:cs="Lucida Sans Unicode"/>
          <w:color w:val="202122"/>
          <w:spacing w:val="3"/>
          <w:sz w:val="29"/>
          <w:szCs w:val="29"/>
        </w:rPr>
      </w:pPr>
      <w:r w:rsidRPr="004541DF">
        <w:rPr>
          <w:rFonts w:ascii="Lucida Sans Unicode" w:eastAsia="Times New Roman" w:hAnsi="Lucida Sans Unicode" w:cs="Lucida Sans Unicode"/>
          <w:b/>
          <w:bCs/>
          <w:color w:val="202122"/>
          <w:spacing w:val="3"/>
          <w:sz w:val="29"/>
          <w:szCs w:val="29"/>
        </w:rPr>
        <w:t>Calculate the company's Weighted Average Cost of Capital (WACC)</w:t>
      </w:r>
      <w:r w:rsidRPr="004541DF">
        <w:rPr>
          <w:rFonts w:ascii="Lucida Sans Unicode" w:eastAsia="Times New Roman" w:hAnsi="Lucida Sans Unicode" w:cs="Lucida Sans Unicode"/>
          <w:color w:val="202122"/>
          <w:spacing w:val="3"/>
          <w:sz w:val="29"/>
          <w:szCs w:val="29"/>
        </w:rPr>
        <w:t> under both the current and proposed capital structures.</w:t>
      </w:r>
    </w:p>
    <w:p w14:paraId="1D2CC6CC" w14:textId="77777777" w:rsidR="004541DF" w:rsidRPr="004541DF" w:rsidRDefault="004541DF" w:rsidP="004541DF">
      <w:pPr>
        <w:numPr>
          <w:ilvl w:val="0"/>
          <w:numId w:val="2"/>
        </w:numPr>
        <w:shd w:val="clear" w:color="auto" w:fill="FFFFFF"/>
        <w:spacing w:before="100" w:beforeAutospacing="1" w:after="100" w:afterAutospacing="1" w:line="240" w:lineRule="auto"/>
        <w:ind w:left="0"/>
        <w:rPr>
          <w:rFonts w:ascii="Lucida Sans Unicode" w:eastAsia="Times New Roman" w:hAnsi="Lucida Sans Unicode" w:cs="Lucida Sans Unicode"/>
          <w:color w:val="202122"/>
          <w:spacing w:val="3"/>
          <w:sz w:val="29"/>
          <w:szCs w:val="29"/>
        </w:rPr>
      </w:pPr>
      <w:r w:rsidRPr="004541DF">
        <w:rPr>
          <w:rFonts w:ascii="Lucida Sans Unicode" w:eastAsia="Times New Roman" w:hAnsi="Lucida Sans Unicode" w:cs="Lucida Sans Unicode"/>
          <w:b/>
          <w:bCs/>
          <w:color w:val="202122"/>
          <w:spacing w:val="3"/>
          <w:sz w:val="29"/>
          <w:szCs w:val="29"/>
        </w:rPr>
        <w:t>Provide recommendations</w:t>
      </w:r>
      <w:r w:rsidRPr="004541DF">
        <w:rPr>
          <w:rFonts w:ascii="Lucida Sans Unicode" w:eastAsia="Times New Roman" w:hAnsi="Lucida Sans Unicode" w:cs="Lucida Sans Unicode"/>
          <w:color w:val="202122"/>
          <w:spacing w:val="3"/>
          <w:sz w:val="29"/>
          <w:szCs w:val="29"/>
        </w:rPr>
        <w:t> regarding the use of debt versus equity financing based on your analysis.</w:t>
      </w:r>
    </w:p>
    <w:p w14:paraId="59D34E1C" w14:textId="77777777" w:rsidR="004541DF" w:rsidRPr="004541DF" w:rsidRDefault="004541DF" w:rsidP="004541DF">
      <w:pPr>
        <w:numPr>
          <w:ilvl w:val="0"/>
          <w:numId w:val="2"/>
        </w:numPr>
        <w:shd w:val="clear" w:color="auto" w:fill="FFFFFF"/>
        <w:spacing w:before="100" w:beforeAutospacing="1" w:after="100" w:afterAutospacing="1" w:line="240" w:lineRule="auto"/>
        <w:ind w:left="0"/>
        <w:rPr>
          <w:rFonts w:ascii="Lucida Sans Unicode" w:eastAsia="Times New Roman" w:hAnsi="Lucida Sans Unicode" w:cs="Lucida Sans Unicode"/>
          <w:color w:val="202122"/>
          <w:spacing w:val="3"/>
          <w:sz w:val="29"/>
          <w:szCs w:val="29"/>
        </w:rPr>
      </w:pPr>
      <w:r w:rsidRPr="004541DF">
        <w:rPr>
          <w:rFonts w:ascii="Lucida Sans Unicode" w:eastAsia="Times New Roman" w:hAnsi="Lucida Sans Unicode" w:cs="Lucida Sans Unicode"/>
          <w:b/>
          <w:bCs/>
          <w:color w:val="202122"/>
          <w:spacing w:val="3"/>
          <w:sz w:val="29"/>
          <w:szCs w:val="29"/>
        </w:rPr>
        <w:t>Evaluate the advantages and disadvantages</w:t>
      </w:r>
      <w:r w:rsidRPr="004541DF">
        <w:rPr>
          <w:rFonts w:ascii="Lucida Sans Unicode" w:eastAsia="Times New Roman" w:hAnsi="Lucida Sans Unicode" w:cs="Lucida Sans Unicode"/>
          <w:color w:val="202122"/>
          <w:spacing w:val="3"/>
          <w:sz w:val="29"/>
          <w:szCs w:val="29"/>
        </w:rPr>
        <w:t> of both capital structure options, considering both quantitative and qualitative factors.</w:t>
      </w:r>
    </w:p>
    <w:p w14:paraId="1A686563" w14:textId="77777777" w:rsidR="004541DF" w:rsidRPr="004541DF" w:rsidRDefault="004541DF" w:rsidP="004541DF">
      <w:pPr>
        <w:shd w:val="clear" w:color="auto" w:fill="FFFFFF"/>
        <w:spacing w:before="120" w:after="0" w:line="240" w:lineRule="auto"/>
        <w:rPr>
          <w:rFonts w:ascii="Lucida Sans Unicode" w:eastAsia="Times New Roman" w:hAnsi="Lucida Sans Unicode" w:cs="Lucida Sans Unicode"/>
          <w:color w:val="202122"/>
          <w:spacing w:val="3"/>
          <w:sz w:val="29"/>
          <w:szCs w:val="29"/>
        </w:rPr>
      </w:pPr>
      <w:r w:rsidRPr="004541DF">
        <w:rPr>
          <w:rFonts w:ascii="Lucida Sans Unicode" w:eastAsia="Times New Roman" w:hAnsi="Lucida Sans Unicode" w:cs="Lucida Sans Unicode"/>
          <w:b/>
          <w:bCs/>
          <w:color w:val="202122"/>
          <w:spacing w:val="3"/>
          <w:sz w:val="29"/>
          <w:szCs w:val="29"/>
        </w:rPr>
        <w:t>Format:</w:t>
      </w:r>
      <w:r w:rsidRPr="004541DF">
        <w:rPr>
          <w:rFonts w:ascii="Lucida Sans Unicode" w:eastAsia="Times New Roman" w:hAnsi="Lucida Sans Unicode" w:cs="Lucida Sans Unicode"/>
          <w:color w:val="202122"/>
          <w:spacing w:val="3"/>
          <w:sz w:val="29"/>
          <w:szCs w:val="29"/>
        </w:rPr>
        <w:br/>
        <w:t>Prepare a 2-page business memo that includes your quantitative and qualitative analysis along with your recommendations.</w:t>
      </w:r>
    </w:p>
    <w:p w14:paraId="320638F1" w14:textId="77777777" w:rsidR="00372E15" w:rsidRDefault="00372E15">
      <w:bookmarkStart w:id="0" w:name="_GoBack"/>
      <w:bookmarkEnd w:id="0"/>
    </w:p>
    <w:sectPr w:rsidR="00372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F3685"/>
    <w:multiLevelType w:val="multilevel"/>
    <w:tmpl w:val="A9141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A5644E"/>
    <w:multiLevelType w:val="multilevel"/>
    <w:tmpl w:val="7E5C2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1DF"/>
    <w:rsid w:val="00372E15"/>
    <w:rsid w:val="00454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AED7F"/>
  <w15:chartTrackingRefBased/>
  <w15:docId w15:val="{258D7070-FFA4-4E97-859F-D25BA2FF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41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41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96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2024-09-11T04:38:00Z</dcterms:created>
  <dcterms:modified xsi:type="dcterms:W3CDTF">2024-09-11T04:39:00Z</dcterms:modified>
</cp:coreProperties>
</file>