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56D31" w14:textId="408E0DBD" w:rsidR="00636A88" w:rsidRPr="003A6177" w:rsidRDefault="00636A88" w:rsidP="003A6177">
      <w:pPr>
        <w:spacing w:after="0"/>
        <w:rPr>
          <w:b/>
          <w:bCs/>
          <w:sz w:val="24"/>
          <w:szCs w:val="24"/>
        </w:rPr>
      </w:pPr>
      <w:r w:rsidRPr="003A6177">
        <w:rPr>
          <w:b/>
          <w:bCs/>
          <w:sz w:val="24"/>
          <w:szCs w:val="24"/>
        </w:rPr>
        <w:t xml:space="preserve">Critically discuss and </w:t>
      </w:r>
      <w:r w:rsidRPr="00CB0AD2">
        <w:rPr>
          <w:b/>
          <w:bCs/>
          <w:sz w:val="24"/>
          <w:szCs w:val="24"/>
          <w:u w:val="single"/>
        </w:rPr>
        <w:t>evaluate</w:t>
      </w:r>
      <w:r w:rsidRPr="003A6177">
        <w:rPr>
          <w:b/>
          <w:bCs/>
          <w:sz w:val="24"/>
          <w:szCs w:val="24"/>
        </w:rPr>
        <w:t xml:space="preserve"> the impact of international trade policy on food</w:t>
      </w:r>
    </w:p>
    <w:p w14:paraId="5C1CF048" w14:textId="2CB27980" w:rsidR="00DC0033" w:rsidRPr="003A6177" w:rsidRDefault="00636A88" w:rsidP="003A6177">
      <w:pPr>
        <w:spacing w:after="0"/>
        <w:rPr>
          <w:b/>
          <w:bCs/>
          <w:sz w:val="24"/>
          <w:szCs w:val="24"/>
        </w:rPr>
      </w:pPr>
      <w:r w:rsidRPr="003A6177">
        <w:rPr>
          <w:b/>
          <w:bCs/>
          <w:sz w:val="24"/>
          <w:szCs w:val="24"/>
        </w:rPr>
        <w:t xml:space="preserve">security in developing nations since </w:t>
      </w:r>
      <w:r w:rsidRPr="00F51CB3">
        <w:rPr>
          <w:b/>
          <w:bCs/>
          <w:sz w:val="24"/>
          <w:szCs w:val="24"/>
          <w:highlight w:val="yellow"/>
          <w:u w:val="single"/>
        </w:rPr>
        <w:t>2010</w:t>
      </w:r>
      <w:r w:rsidRPr="003A6177">
        <w:rPr>
          <w:b/>
          <w:bCs/>
          <w:sz w:val="24"/>
          <w:szCs w:val="24"/>
          <w:u w:val="single"/>
        </w:rPr>
        <w:t>.</w:t>
      </w:r>
      <w:r w:rsidR="005C412E">
        <w:rPr>
          <w:b/>
          <w:bCs/>
          <w:sz w:val="24"/>
          <w:szCs w:val="24"/>
          <w:u w:val="single"/>
        </w:rPr>
        <w:t xml:space="preserve"> </w:t>
      </w:r>
      <w:r w:rsidR="00FA261A">
        <w:rPr>
          <w:b/>
          <w:bCs/>
          <w:sz w:val="24"/>
          <w:szCs w:val="24"/>
          <w:u w:val="single"/>
        </w:rPr>
        <w:t>(</w:t>
      </w:r>
      <w:r w:rsidR="00EC3009">
        <w:rPr>
          <w:b/>
          <w:bCs/>
          <w:sz w:val="24"/>
          <w:szCs w:val="24"/>
          <w:u w:val="single"/>
        </w:rPr>
        <w:t>After</w:t>
      </w:r>
      <w:r w:rsidR="002E3CF8">
        <w:rPr>
          <w:b/>
          <w:bCs/>
          <w:sz w:val="24"/>
          <w:szCs w:val="24"/>
          <w:u w:val="single"/>
        </w:rPr>
        <w:t xml:space="preserve"> financial crash </w:t>
      </w:r>
      <w:r w:rsidR="00EC3009">
        <w:rPr>
          <w:b/>
          <w:bCs/>
          <w:sz w:val="24"/>
          <w:szCs w:val="24"/>
          <w:u w:val="single"/>
        </w:rPr>
        <w:t>WTO</w:t>
      </w:r>
      <w:r w:rsidR="002E3CF8">
        <w:rPr>
          <w:b/>
          <w:bCs/>
          <w:sz w:val="24"/>
          <w:szCs w:val="24"/>
          <w:u w:val="single"/>
        </w:rPr>
        <w:t xml:space="preserve"> decided to tackle food security, affordability</w:t>
      </w:r>
      <w:r w:rsidR="00681527">
        <w:rPr>
          <w:b/>
          <w:bCs/>
          <w:sz w:val="24"/>
          <w:szCs w:val="24"/>
          <w:u w:val="single"/>
        </w:rPr>
        <w:t xml:space="preserve"> changed worldwide, developing countries affected as western economies became </w:t>
      </w:r>
      <w:r w:rsidR="000C3AD0">
        <w:rPr>
          <w:b/>
          <w:bCs/>
          <w:sz w:val="24"/>
          <w:szCs w:val="24"/>
          <w:u w:val="single"/>
        </w:rPr>
        <w:t xml:space="preserve">protectionist due to the economic hit. Policies brought in aimed to </w:t>
      </w:r>
      <w:r w:rsidR="00E752AD">
        <w:rPr>
          <w:b/>
          <w:bCs/>
          <w:sz w:val="24"/>
          <w:szCs w:val="24"/>
          <w:u w:val="single"/>
        </w:rPr>
        <w:t>make</w:t>
      </w:r>
      <w:r w:rsidR="000C3AD0">
        <w:rPr>
          <w:b/>
          <w:bCs/>
          <w:sz w:val="24"/>
          <w:szCs w:val="24"/>
          <w:u w:val="single"/>
        </w:rPr>
        <w:t xml:space="preserve"> it fairer for developing countries.</w:t>
      </w:r>
    </w:p>
    <w:p w14:paraId="3CF0A952" w14:textId="69F6E20C" w:rsidR="00636A88" w:rsidRPr="00C42324" w:rsidRDefault="00C42324" w:rsidP="00C0325B">
      <w:pPr>
        <w:rPr>
          <w:sz w:val="18"/>
          <w:szCs w:val="18"/>
        </w:rPr>
      </w:pPr>
      <w:r w:rsidRPr="00C42324">
        <w:rPr>
          <w:sz w:val="18"/>
          <w:szCs w:val="18"/>
        </w:rPr>
        <w:t xml:space="preserve">To what extent  has trade policy tried to battle food insecurity </w:t>
      </w:r>
    </w:p>
    <w:p w14:paraId="426BEA20" w14:textId="06A86298" w:rsidR="00173591" w:rsidRDefault="00173591" w:rsidP="00BC534E">
      <w:pPr>
        <w:pStyle w:val="ListParagraph"/>
        <w:numPr>
          <w:ilvl w:val="0"/>
          <w:numId w:val="13"/>
        </w:numPr>
      </w:pPr>
      <w:r>
        <w:t xml:space="preserve">Food and nutrition security;  </w:t>
      </w:r>
    </w:p>
    <w:p w14:paraId="4101AB96" w14:textId="04DB0770" w:rsidR="00173591" w:rsidRDefault="00382DC5" w:rsidP="00BC534E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ADE63" wp14:editId="1365CE03">
                <wp:simplePos x="0" y="0"/>
                <wp:positionH relativeFrom="column">
                  <wp:posOffset>4549140</wp:posOffset>
                </wp:positionH>
                <wp:positionV relativeFrom="paragraph">
                  <wp:posOffset>8255</wp:posOffset>
                </wp:positionV>
                <wp:extent cx="800100" cy="510540"/>
                <wp:effectExtent l="0" t="0" r="19050" b="22860"/>
                <wp:wrapNone/>
                <wp:docPr id="67251213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F15AD" w14:textId="54D7EBCF" w:rsidR="00382DC5" w:rsidRDefault="00382DC5">
                            <w:r>
                              <w:t xml:space="preserve">ESSAY THEMES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DE6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8.2pt;margin-top:.65pt;width:63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" fillcolor="white [3201]" strokeweight=".5pt">
                <v:textbox>
                  <w:txbxContent>
                    <w:p w14:paraId="179F15AD" w14:textId="54D7EBCF" w:rsidR="00382DC5" w:rsidRDefault="00382DC5">
                      <w:r>
                        <w:t xml:space="preserve">ESSAY THEMES </w:t>
                      </w:r>
                    </w:p>
                  </w:txbxContent>
                </v:textbox>
              </v:shape>
            </w:pict>
          </mc:Fallback>
        </mc:AlternateContent>
      </w:r>
      <w:r w:rsidR="00173591">
        <w:t xml:space="preserve">International food systems and comparative advantage; </w:t>
      </w:r>
    </w:p>
    <w:p w14:paraId="78206AC9" w14:textId="685CF276" w:rsidR="00173591" w:rsidRDefault="00382DC5" w:rsidP="00BC534E">
      <w:pPr>
        <w:pStyle w:val="ListParagraph"/>
        <w:numPr>
          <w:ilvl w:val="0"/>
          <w:numId w:val="1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0CE80CB" wp14:editId="047568F7">
                <wp:simplePos x="0" y="0"/>
                <wp:positionH relativeFrom="column">
                  <wp:posOffset>3671570</wp:posOffset>
                </wp:positionH>
                <wp:positionV relativeFrom="paragraph">
                  <wp:posOffset>-328295</wp:posOffset>
                </wp:positionV>
                <wp:extent cx="595440" cy="899425"/>
                <wp:effectExtent l="57150" t="57150" r="14605" b="53340"/>
                <wp:wrapNone/>
                <wp:docPr id="26275036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95440" cy="899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5F6DFD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8.4pt;margin-top:-26.55pt;width:48.3pt;height:7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">
                <v:imagedata r:id="rId6" o:title=""/>
              </v:shape>
            </w:pict>
          </mc:Fallback>
        </mc:AlternateContent>
      </w:r>
      <w:r w:rsidR="00173591">
        <w:t xml:space="preserve">liberalisation of international trade and food policy;  </w:t>
      </w:r>
    </w:p>
    <w:p w14:paraId="0EADA44C" w14:textId="19B6D26E" w:rsidR="00173591" w:rsidRDefault="00173591" w:rsidP="00BC534E">
      <w:pPr>
        <w:pStyle w:val="ListParagraph"/>
        <w:numPr>
          <w:ilvl w:val="0"/>
          <w:numId w:val="13"/>
        </w:numPr>
      </w:pPr>
      <w:r>
        <w:t xml:space="preserve">protectionism and international food security;  </w:t>
      </w:r>
    </w:p>
    <w:p w14:paraId="3684B414" w14:textId="270CC742" w:rsidR="00173591" w:rsidRDefault="00173591" w:rsidP="00BC534E">
      <w:pPr>
        <w:pStyle w:val="ListParagraph"/>
        <w:numPr>
          <w:ilvl w:val="0"/>
          <w:numId w:val="13"/>
        </w:numPr>
      </w:pPr>
      <w:r>
        <w:t xml:space="preserve">pillars of food security;  </w:t>
      </w:r>
    </w:p>
    <w:p w14:paraId="2049F0C5" w14:textId="0F717129" w:rsidR="00173591" w:rsidRDefault="00173591" w:rsidP="00BC534E">
      <w:pPr>
        <w:pStyle w:val="ListParagraph"/>
        <w:numPr>
          <w:ilvl w:val="0"/>
          <w:numId w:val="13"/>
        </w:numPr>
      </w:pPr>
      <w:r>
        <w:t xml:space="preserve">agricultural international trade agreements. </w:t>
      </w:r>
    </w:p>
    <w:p w14:paraId="252ED0C7" w14:textId="77777777" w:rsidR="00650026" w:rsidRDefault="00650026" w:rsidP="00C0325B"/>
    <w:p w14:paraId="17B01E4D" w14:textId="49834153" w:rsidR="00636A88" w:rsidRDefault="00636A88" w:rsidP="00C0325B">
      <w:r>
        <w:t>Introduction</w:t>
      </w:r>
    </w:p>
    <w:p w14:paraId="75EE7CCE" w14:textId="1A65899B" w:rsidR="00FF6CE6" w:rsidRDefault="00FF6CE6" w:rsidP="00E86495">
      <w:pPr>
        <w:pStyle w:val="ListParagraph"/>
        <w:numPr>
          <w:ilvl w:val="0"/>
          <w:numId w:val="10"/>
        </w:numPr>
      </w:pPr>
      <w:r>
        <w:t xml:space="preserve">Briefly introduce the topic </w:t>
      </w:r>
      <w:r w:rsidR="00634C09">
        <w:t xml:space="preserve">and </w:t>
      </w:r>
      <w:r w:rsidR="005E34D5">
        <w:t xml:space="preserve">explain how it is relevant in today’s </w:t>
      </w:r>
      <w:r w:rsidR="00DE6A6E">
        <w:t>economic</w:t>
      </w:r>
      <w:r w:rsidR="005E34D5">
        <w:t xml:space="preserve"> climate (stats etc.)</w:t>
      </w:r>
    </w:p>
    <w:p w14:paraId="2BD245B9" w14:textId="47B33B79" w:rsidR="00FF6CE6" w:rsidRDefault="00FF6CE6" w:rsidP="00E86495">
      <w:pPr>
        <w:pStyle w:val="ListParagraph"/>
        <w:numPr>
          <w:ilvl w:val="0"/>
          <w:numId w:val="10"/>
        </w:numPr>
      </w:pPr>
      <w:r>
        <w:t>Define key terms: international trade policy, food security, developing nations.</w:t>
      </w:r>
      <w:r w:rsidR="005E6182">
        <w:t xml:space="preserve"> (4 pillars, will be referenced throughout the essay)</w:t>
      </w:r>
    </w:p>
    <w:p w14:paraId="1B687769" w14:textId="78BF1404" w:rsidR="00FF6CE6" w:rsidRDefault="0064548D" w:rsidP="00E86495">
      <w:pPr>
        <w:pStyle w:val="ListParagraph"/>
        <w:numPr>
          <w:ilvl w:val="0"/>
          <w:numId w:val="10"/>
        </w:numPr>
      </w:pPr>
      <w:r>
        <w:t xml:space="preserve">Frame the narrative of the essay - While </w:t>
      </w:r>
      <w:r w:rsidR="00FF6CE6">
        <w:t xml:space="preserve">international trade policy can enhance food security, it often </w:t>
      </w:r>
      <w:r w:rsidR="00DE6A6E">
        <w:t>increases</w:t>
      </w:r>
      <w:r w:rsidR="00FF6CE6">
        <w:t xml:space="preserve"> vulnerabiliti</w:t>
      </w:r>
      <w:r w:rsidR="00DE6A6E">
        <w:t>es</w:t>
      </w:r>
      <w:r w:rsidR="00FF6CE6">
        <w:t xml:space="preserve"> in developing nations.</w:t>
      </w:r>
    </w:p>
    <w:p w14:paraId="39F99ED7" w14:textId="1E0F32E5" w:rsidR="008E053E" w:rsidRDefault="00560033" w:rsidP="008E053E">
      <w:pPr>
        <w:pStyle w:val="ListParagraph"/>
        <w:numPr>
          <w:ilvl w:val="0"/>
          <w:numId w:val="10"/>
        </w:numPr>
      </w:pPr>
      <w:r>
        <w:t xml:space="preserve">Also </w:t>
      </w:r>
      <w:r w:rsidR="0023057E">
        <w:t>introduce the WTO and bring forward the idea of its lack of power.</w:t>
      </w:r>
    </w:p>
    <w:p w14:paraId="1A14D4F8" w14:textId="77777777" w:rsidR="00DA3DE1" w:rsidRDefault="00DA3DE1" w:rsidP="00DA3DE1">
      <w:pPr>
        <w:pStyle w:val="ListParagraph"/>
        <w:ind w:left="360"/>
      </w:pPr>
    </w:p>
    <w:p w14:paraId="30ECCF5C" w14:textId="4F4B8DFF" w:rsidR="00D44D19" w:rsidRPr="00D44D19" w:rsidRDefault="004C0037" w:rsidP="00C0325B">
      <w:pPr>
        <w:pStyle w:val="ListParagraph"/>
        <w:numPr>
          <w:ilvl w:val="0"/>
          <w:numId w:val="2"/>
        </w:numPr>
      </w:pPr>
      <w:r>
        <w:t>Theory</w:t>
      </w:r>
      <w:r w:rsidR="00D44D19">
        <w:t xml:space="preserve">. </w:t>
      </w:r>
      <w:r w:rsidR="00D44D19" w:rsidRPr="008D7240">
        <w:rPr>
          <w:highlight w:val="yellow"/>
        </w:rPr>
        <w:t>Comparative advantage</w:t>
      </w:r>
      <w:r w:rsidR="00D44D19" w:rsidRPr="00D44D19">
        <w:t>, dependency theory, and food sovereignty.</w:t>
      </w:r>
      <w:r w:rsidR="00D44D19">
        <w:t xml:space="preserve"> </w:t>
      </w:r>
      <w:r w:rsidR="00D44D19" w:rsidRPr="00D44D19">
        <w:t>Explain how these theories will guide the analysis.</w:t>
      </w:r>
    </w:p>
    <w:p w14:paraId="3D589BEB" w14:textId="6BFB5805" w:rsidR="00636A88" w:rsidRDefault="005255C2" w:rsidP="00C0325B">
      <w:pPr>
        <w:pStyle w:val="ListParagraph"/>
        <w:numPr>
          <w:ilvl w:val="0"/>
          <w:numId w:val="2"/>
        </w:numPr>
      </w:pPr>
      <w:r>
        <w:t xml:space="preserve">Overview of significant trade policies and agreements since 2010 (e.g., WTO rules, bilateral trade agreements, regional trade deals). </w:t>
      </w:r>
      <w:r w:rsidR="00C306DD">
        <w:t>Balance with WTO criticism.</w:t>
      </w:r>
    </w:p>
    <w:p w14:paraId="45BA3847" w14:textId="317B80F2" w:rsidR="00F84AEF" w:rsidRDefault="005C3614" w:rsidP="00F84AEF">
      <w:pPr>
        <w:pStyle w:val="ListParagraph"/>
        <w:numPr>
          <w:ilvl w:val="0"/>
          <w:numId w:val="2"/>
        </w:numPr>
      </w:pPr>
      <w:r>
        <w:t xml:space="preserve">Economic growth </w:t>
      </w:r>
      <w:r w:rsidR="00F84AEF">
        <w:t>increased agricultural exports, GDP growth, and technology transfer.</w:t>
      </w:r>
    </w:p>
    <w:p w14:paraId="72A9C670" w14:textId="5C3EAD46" w:rsidR="00F84AEF" w:rsidRDefault="00F84AEF" w:rsidP="00F84AEF">
      <w:pPr>
        <w:pStyle w:val="ListParagraph"/>
        <w:ind w:left="360"/>
      </w:pPr>
      <w:r>
        <w:t>Improved access to diverse food products</w:t>
      </w:r>
      <w:r w:rsidR="005C3614">
        <w:t xml:space="preserve"> (improved health, life expectancy and quality etc.)</w:t>
      </w:r>
      <w:r>
        <w:t>. Case studies showing successful policy implementations (e.g., trade agreements boosting local agriculture).</w:t>
      </w:r>
    </w:p>
    <w:p w14:paraId="12E6519C" w14:textId="1EF3AE6E" w:rsidR="00790346" w:rsidRDefault="00790346" w:rsidP="00790346">
      <w:pPr>
        <w:pStyle w:val="ListParagraph"/>
        <w:numPr>
          <w:ilvl w:val="0"/>
          <w:numId w:val="2"/>
        </w:numPr>
      </w:pPr>
      <w:r>
        <w:t>Dependency on imports leading to vulnerability. Market volatility affecting food prices and stability. Displacement of small-scale farmers and increased rural poverty. Environmental degradation due to intensive farming practices</w:t>
      </w:r>
      <w:r w:rsidR="00AB4223">
        <w:t xml:space="preserve"> Protectionism discussed here. </w:t>
      </w:r>
    </w:p>
    <w:p w14:paraId="581315F0" w14:textId="34766F7E" w:rsidR="00441F8C" w:rsidRDefault="00441F8C" w:rsidP="00441F8C">
      <w:pPr>
        <w:pStyle w:val="ListParagraph"/>
        <w:numPr>
          <w:ilvl w:val="0"/>
          <w:numId w:val="2"/>
        </w:numPr>
      </w:pPr>
      <w:r>
        <w:t>Comparative analysis of positive and negative impacts. Discuss the role of other factors: climate change, political instability, and global market fluctuations</w:t>
      </w:r>
      <w:r w:rsidR="00A8501F">
        <w:t xml:space="preserve">(Examples of Israel inflicting food insecurity on Gaza and Russia invading Ukraine used here?) </w:t>
      </w:r>
      <w:r>
        <w:t>Evaluate policy design and implementation gaps</w:t>
      </w:r>
      <w:r w:rsidR="00CF2711">
        <w:t xml:space="preserve"> </w:t>
      </w:r>
      <w:r w:rsidR="001F4290">
        <w:t xml:space="preserve">(Seminar week 5 questions </w:t>
      </w:r>
      <w:r w:rsidR="00CF2711">
        <w:t>answer</w:t>
      </w:r>
      <w:r w:rsidR="001F4290">
        <w:t xml:space="preserve"> important here)</w:t>
      </w:r>
    </w:p>
    <w:p w14:paraId="629D00D5" w14:textId="425293E2" w:rsidR="004C0037" w:rsidRDefault="007F69E0" w:rsidP="00E86495">
      <w:pPr>
        <w:pStyle w:val="ListParagraph"/>
        <w:numPr>
          <w:ilvl w:val="0"/>
          <w:numId w:val="2"/>
        </w:numPr>
      </w:pPr>
      <w:r>
        <w:t>Propose strategies for improving food security: balanced trade agreements, support for local agriculture, sustainable practices. Emphasi</w:t>
      </w:r>
      <w:r w:rsidR="00CF2711">
        <w:t>s</w:t>
      </w:r>
      <w:r>
        <w:t>e the importance of inclusive</w:t>
      </w:r>
      <w:r w:rsidR="00CF2711">
        <w:t xml:space="preserve"> policymaking</w:t>
      </w:r>
      <w:r>
        <w:t>. Advocate for international cooperation and assistance.</w:t>
      </w:r>
    </w:p>
    <w:p w14:paraId="3D289878" w14:textId="7AD9225A" w:rsidR="00636A88" w:rsidRDefault="00636A88" w:rsidP="00C0325B">
      <w:r>
        <w:t>Conclusion</w:t>
      </w:r>
    </w:p>
    <w:p w14:paraId="2A921427" w14:textId="5F1CCE82" w:rsidR="00E86495" w:rsidRDefault="00E86495" w:rsidP="00E86495">
      <w:pPr>
        <w:pStyle w:val="ListParagraph"/>
        <w:numPr>
          <w:ilvl w:val="0"/>
          <w:numId w:val="9"/>
        </w:numPr>
      </w:pPr>
      <w:r>
        <w:t>Summarize key findings and arguments.</w:t>
      </w:r>
    </w:p>
    <w:p w14:paraId="411BDD48" w14:textId="451D69A5" w:rsidR="00E86495" w:rsidRDefault="00E86495" w:rsidP="00E86495">
      <w:pPr>
        <w:pStyle w:val="ListParagraph"/>
        <w:numPr>
          <w:ilvl w:val="0"/>
          <w:numId w:val="9"/>
        </w:numPr>
      </w:pPr>
      <w:r>
        <w:t>Trade policies have mixed impacts and must be carefully designed to support food security.</w:t>
      </w:r>
    </w:p>
    <w:p w14:paraId="1D9F6F73" w14:textId="72F1E541" w:rsidR="002C2BEC" w:rsidRDefault="00E86495" w:rsidP="00AB4223">
      <w:pPr>
        <w:pStyle w:val="ListParagraph"/>
        <w:numPr>
          <w:ilvl w:val="0"/>
          <w:numId w:val="9"/>
        </w:numPr>
      </w:pPr>
      <w:r>
        <w:t>Reflect on future challenges and opportunities.</w:t>
      </w:r>
      <w:r w:rsidR="002C2BEC">
        <w:br w:type="page"/>
      </w:r>
    </w:p>
    <w:p w14:paraId="24FA0E53" w14:textId="0CB6181C" w:rsidR="002C2BEC" w:rsidRDefault="002C2BEC" w:rsidP="00C0325B">
      <w:r>
        <w:lastRenderedPageBreak/>
        <w:t>Week 4 food security lecture</w:t>
      </w:r>
      <w:r w:rsidR="002C0E6C">
        <w:t xml:space="preserve"> questions </w:t>
      </w:r>
    </w:p>
    <w:p w14:paraId="182CCDFB" w14:textId="7F6ACE4D" w:rsidR="002C2BEC" w:rsidRDefault="002C2BEC" w:rsidP="00C0325B">
      <w:r>
        <w:t>I</w:t>
      </w:r>
      <w:r w:rsidRPr="002C2BEC">
        <w:t>dentify both the opportunities and potential losses to local communities when they do not have secure access to food.</w:t>
      </w:r>
    </w:p>
    <w:p w14:paraId="1DE04A45" w14:textId="353E426A" w:rsidR="00484B8D" w:rsidRDefault="00484B8D" w:rsidP="00C0325B">
      <w:r>
        <w:t>Opportunities:</w:t>
      </w:r>
    </w:p>
    <w:p w14:paraId="22C35F1F" w14:textId="35D78F8B" w:rsidR="00484B8D" w:rsidRDefault="00484B8D" w:rsidP="00C0325B">
      <w:pPr>
        <w:pStyle w:val="ListParagraph"/>
        <w:numPr>
          <w:ilvl w:val="0"/>
          <w:numId w:val="4"/>
        </w:numPr>
      </w:pPr>
      <w:r>
        <w:t>Economic Growth: Secure food access can boost local economies by increasing productivity and reducing healthcare costs.</w:t>
      </w:r>
    </w:p>
    <w:p w14:paraId="72195943" w14:textId="112CD356" w:rsidR="00484B8D" w:rsidRDefault="00484B8D" w:rsidP="00C0325B">
      <w:pPr>
        <w:pStyle w:val="ListParagraph"/>
        <w:numPr>
          <w:ilvl w:val="0"/>
          <w:numId w:val="4"/>
        </w:numPr>
      </w:pPr>
      <w:r>
        <w:t>Social Stability: Food security fosters social cohesion and reduces conflict over resources.</w:t>
      </w:r>
    </w:p>
    <w:p w14:paraId="6EF346E9" w14:textId="67AE33A7" w:rsidR="000A162C" w:rsidRDefault="00484B8D" w:rsidP="00C0325B">
      <w:pPr>
        <w:pStyle w:val="ListParagraph"/>
        <w:numPr>
          <w:ilvl w:val="0"/>
          <w:numId w:val="4"/>
        </w:numPr>
      </w:pPr>
      <w:r>
        <w:t>Health Improvements: Access to nutritious food enhances overall health and cognitive development.</w:t>
      </w:r>
    </w:p>
    <w:p w14:paraId="4C385BC0" w14:textId="319CCB11" w:rsidR="00484B8D" w:rsidRDefault="00484B8D" w:rsidP="00C0325B">
      <w:r>
        <w:t>Potential Losses:</w:t>
      </w:r>
    </w:p>
    <w:p w14:paraId="00058020" w14:textId="660CC7B7" w:rsidR="00484B8D" w:rsidRDefault="00484B8D" w:rsidP="00C0325B">
      <w:pPr>
        <w:pStyle w:val="ListParagraph"/>
        <w:numPr>
          <w:ilvl w:val="0"/>
          <w:numId w:val="3"/>
        </w:numPr>
      </w:pPr>
      <w:r>
        <w:t>Poverty: Lack of food security perpetuates poverty cycles, limiting economic opportunities.</w:t>
      </w:r>
    </w:p>
    <w:p w14:paraId="1D1FF9BC" w14:textId="1F52ECBC" w:rsidR="00484B8D" w:rsidRDefault="00484B8D" w:rsidP="00C0325B">
      <w:pPr>
        <w:pStyle w:val="ListParagraph"/>
        <w:numPr>
          <w:ilvl w:val="0"/>
          <w:numId w:val="3"/>
        </w:numPr>
      </w:pPr>
      <w:r>
        <w:t>Health Issues: Malnutrition and related diseases increase, affecting overall community well-being.</w:t>
      </w:r>
    </w:p>
    <w:p w14:paraId="1C6ADB39" w14:textId="6EBC55D2" w:rsidR="000B34CF" w:rsidRDefault="00484B8D" w:rsidP="00C0325B">
      <w:pPr>
        <w:pStyle w:val="ListParagraph"/>
        <w:numPr>
          <w:ilvl w:val="0"/>
          <w:numId w:val="3"/>
        </w:numPr>
      </w:pPr>
      <w:r>
        <w:t>Migration: Food insecurity can lead to forced migration, disrupting social structures</w:t>
      </w:r>
    </w:p>
    <w:p w14:paraId="66503285" w14:textId="77777777" w:rsidR="000A162C" w:rsidRDefault="000A162C" w:rsidP="00C0325B"/>
    <w:p w14:paraId="09E6DEB8" w14:textId="60DF01AD" w:rsidR="002C2BEC" w:rsidRDefault="002C2BEC" w:rsidP="00C0325B">
      <w:r w:rsidRPr="002C2BEC">
        <w:t>What differences are there in the key issues identified within the short USAID video (2012) and the arguments put forward by Greenpeace in 2002 (paper attached on reference slide)?</w:t>
      </w:r>
    </w:p>
    <w:p w14:paraId="1E3C11E5" w14:textId="243D31D2" w:rsidR="00873A54" w:rsidRDefault="00873A54" w:rsidP="00C0325B">
      <w:r>
        <w:t>USAID (2012):</w:t>
      </w:r>
    </w:p>
    <w:p w14:paraId="3B9A5282" w14:textId="39CB33FE" w:rsidR="00873A54" w:rsidRDefault="00873A54" w:rsidP="00C0325B">
      <w:r>
        <w:t>Focuses on immediate humanitarian aid and long-term development strategies.</w:t>
      </w:r>
    </w:p>
    <w:p w14:paraId="29E19AAB" w14:textId="515E938F" w:rsidR="00873A54" w:rsidRDefault="00873A54" w:rsidP="00C0325B">
      <w:r>
        <w:t>Emphasizes technology transfer and market access to improve food security.</w:t>
      </w:r>
    </w:p>
    <w:p w14:paraId="0340A1B3" w14:textId="63A50815" w:rsidR="00873A54" w:rsidRDefault="00873A54" w:rsidP="00C0325B">
      <w:r>
        <w:t>Greenpeace (2002):</w:t>
      </w:r>
    </w:p>
    <w:p w14:paraId="3BCCE896" w14:textId="178DFAA2" w:rsidR="00873A54" w:rsidRDefault="00873A54" w:rsidP="00C0325B">
      <w:r>
        <w:t>Highlights the importance of biodiversity and sustainable agricultural practices.</w:t>
      </w:r>
    </w:p>
    <w:p w14:paraId="2FDF686A" w14:textId="3F03A373" w:rsidR="000A162C" w:rsidRDefault="00873A54" w:rsidP="00C0325B">
      <w:r>
        <w:t>Critiques genetically modified organisms (GMOs) and advocates for natural breeding techniques</w:t>
      </w:r>
    </w:p>
    <w:p w14:paraId="07AD8EA2" w14:textId="77777777" w:rsidR="00873A54" w:rsidRDefault="00873A54" w:rsidP="00C0325B"/>
    <w:p w14:paraId="75A2E75C" w14:textId="17F0B071" w:rsidR="00636A88" w:rsidRDefault="002C2BEC" w:rsidP="00C0325B">
      <w:r w:rsidRPr="002C2BEC">
        <w:t>What are the opportunities and barriers for international trade organisations and NGOs with regard to food security?</w:t>
      </w:r>
    </w:p>
    <w:p w14:paraId="17CA9CE1" w14:textId="7B9BC6C9" w:rsidR="001A5257" w:rsidRDefault="001A5257" w:rsidP="00C0325B">
      <w:r>
        <w:t>Opportunities:</w:t>
      </w:r>
    </w:p>
    <w:p w14:paraId="07BAF7A5" w14:textId="09255EE6" w:rsidR="001A5257" w:rsidRDefault="001A5257" w:rsidP="00C0325B">
      <w:pPr>
        <w:pStyle w:val="ListParagraph"/>
        <w:numPr>
          <w:ilvl w:val="0"/>
          <w:numId w:val="5"/>
        </w:numPr>
      </w:pPr>
      <w:r>
        <w:t>Global Partnerships: Collaboration can enhance resource sharing and knowledge transfer.</w:t>
      </w:r>
    </w:p>
    <w:p w14:paraId="6A2CB57B" w14:textId="1C85CAB9" w:rsidR="001A5257" w:rsidRDefault="001A5257" w:rsidP="00C0325B">
      <w:pPr>
        <w:pStyle w:val="ListParagraph"/>
        <w:numPr>
          <w:ilvl w:val="0"/>
          <w:numId w:val="5"/>
        </w:numPr>
      </w:pPr>
      <w:r>
        <w:t>Policy Influence: Organizations can advocate for fair trade policies that support food security.</w:t>
      </w:r>
    </w:p>
    <w:p w14:paraId="04B5422C" w14:textId="17DB2CAE" w:rsidR="001A5257" w:rsidRDefault="001A5257" w:rsidP="00C0325B">
      <w:r>
        <w:t>Barriers:</w:t>
      </w:r>
    </w:p>
    <w:p w14:paraId="1261599E" w14:textId="4D981240" w:rsidR="001A5257" w:rsidRDefault="001A5257" w:rsidP="00C0325B">
      <w:pPr>
        <w:pStyle w:val="ListParagraph"/>
        <w:numPr>
          <w:ilvl w:val="0"/>
          <w:numId w:val="6"/>
        </w:numPr>
        <w:ind w:left="360"/>
      </w:pPr>
      <w:r>
        <w:t>Political Resistance: Trade policies may face opposition from powerful stakeholders.</w:t>
      </w:r>
    </w:p>
    <w:p w14:paraId="012562CA" w14:textId="2DA26382" w:rsidR="002A1580" w:rsidRDefault="001A5257" w:rsidP="00C0325B">
      <w:pPr>
        <w:pStyle w:val="ListParagraph"/>
        <w:numPr>
          <w:ilvl w:val="0"/>
          <w:numId w:val="6"/>
        </w:numPr>
        <w:ind w:left="360"/>
      </w:pPr>
      <w:r>
        <w:t>Resource Constraints: Limited funding and logistical challenges can hinder effective implementation.</w:t>
      </w:r>
    </w:p>
    <w:p w14:paraId="639A32F9" w14:textId="0DA3738C" w:rsidR="001A5257" w:rsidRDefault="001A5257" w:rsidP="002A1580"/>
    <w:sectPr w:rsidR="001A5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6D40"/>
    <w:multiLevelType w:val="hybridMultilevel"/>
    <w:tmpl w:val="01021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A6A14"/>
    <w:multiLevelType w:val="multilevel"/>
    <w:tmpl w:val="9A0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255798"/>
    <w:multiLevelType w:val="hybridMultilevel"/>
    <w:tmpl w:val="6FD85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CC8"/>
    <w:multiLevelType w:val="hybridMultilevel"/>
    <w:tmpl w:val="A5369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A03AFD"/>
    <w:multiLevelType w:val="hybridMultilevel"/>
    <w:tmpl w:val="BE58AC76"/>
    <w:lvl w:ilvl="0" w:tplc="BCDA8F66">
      <w:numFmt w:val="bullet"/>
      <w:lvlText w:val="•"/>
      <w:lvlJc w:val="left"/>
      <w:pPr>
        <w:ind w:left="36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573C66"/>
    <w:multiLevelType w:val="hybridMultilevel"/>
    <w:tmpl w:val="ADA4E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F0408"/>
    <w:multiLevelType w:val="hybridMultilevel"/>
    <w:tmpl w:val="B34C039C"/>
    <w:lvl w:ilvl="0" w:tplc="BCDA8F66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254AB"/>
    <w:multiLevelType w:val="hybridMultilevel"/>
    <w:tmpl w:val="F62E0F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1555B"/>
    <w:multiLevelType w:val="hybridMultilevel"/>
    <w:tmpl w:val="9DC63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8856E3"/>
    <w:multiLevelType w:val="multilevel"/>
    <w:tmpl w:val="F1CA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230B63"/>
    <w:multiLevelType w:val="hybridMultilevel"/>
    <w:tmpl w:val="ED847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F02D0"/>
    <w:multiLevelType w:val="hybridMultilevel"/>
    <w:tmpl w:val="19427B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5E11D5"/>
    <w:multiLevelType w:val="hybridMultilevel"/>
    <w:tmpl w:val="A8042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6705551">
    <w:abstractNumId w:val="7"/>
  </w:num>
  <w:num w:numId="2" w16cid:durableId="1812015698">
    <w:abstractNumId w:val="8"/>
  </w:num>
  <w:num w:numId="3" w16cid:durableId="1711107568">
    <w:abstractNumId w:val="12"/>
  </w:num>
  <w:num w:numId="4" w16cid:durableId="1798911878">
    <w:abstractNumId w:val="11"/>
  </w:num>
  <w:num w:numId="5" w16cid:durableId="1156335050">
    <w:abstractNumId w:val="0"/>
  </w:num>
  <w:num w:numId="6" w16cid:durableId="2070417105">
    <w:abstractNumId w:val="5"/>
  </w:num>
  <w:num w:numId="7" w16cid:durableId="1186284029">
    <w:abstractNumId w:val="1"/>
  </w:num>
  <w:num w:numId="8" w16cid:durableId="762921593">
    <w:abstractNumId w:val="9"/>
  </w:num>
  <w:num w:numId="9" w16cid:durableId="833715687">
    <w:abstractNumId w:val="10"/>
  </w:num>
  <w:num w:numId="10" w16cid:durableId="990447486">
    <w:abstractNumId w:val="3"/>
  </w:num>
  <w:num w:numId="11" w16cid:durableId="1228343026">
    <w:abstractNumId w:val="2"/>
  </w:num>
  <w:num w:numId="12" w16cid:durableId="1905525505">
    <w:abstractNumId w:val="6"/>
  </w:num>
  <w:num w:numId="13" w16cid:durableId="1533811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88"/>
    <w:rsid w:val="000A162C"/>
    <w:rsid w:val="000B34CF"/>
    <w:rsid w:val="000C3AD0"/>
    <w:rsid w:val="00173591"/>
    <w:rsid w:val="001A5257"/>
    <w:rsid w:val="001F4290"/>
    <w:rsid w:val="0023057E"/>
    <w:rsid w:val="002A1580"/>
    <w:rsid w:val="002C0E6C"/>
    <w:rsid w:val="002C2BEC"/>
    <w:rsid w:val="002E3CF8"/>
    <w:rsid w:val="002F3AEE"/>
    <w:rsid w:val="00382DC5"/>
    <w:rsid w:val="003A6177"/>
    <w:rsid w:val="00441F8C"/>
    <w:rsid w:val="00484B8D"/>
    <w:rsid w:val="004C0037"/>
    <w:rsid w:val="005255C2"/>
    <w:rsid w:val="00560033"/>
    <w:rsid w:val="005C3614"/>
    <w:rsid w:val="005C412E"/>
    <w:rsid w:val="005E34D5"/>
    <w:rsid w:val="005E6182"/>
    <w:rsid w:val="00634C09"/>
    <w:rsid w:val="00636A88"/>
    <w:rsid w:val="0064548D"/>
    <w:rsid w:val="00650026"/>
    <w:rsid w:val="00681527"/>
    <w:rsid w:val="006E0652"/>
    <w:rsid w:val="0077434E"/>
    <w:rsid w:val="00790346"/>
    <w:rsid w:val="007F69E0"/>
    <w:rsid w:val="00841AC1"/>
    <w:rsid w:val="00873A54"/>
    <w:rsid w:val="008D7240"/>
    <w:rsid w:val="008E053E"/>
    <w:rsid w:val="00A8501F"/>
    <w:rsid w:val="00AB4223"/>
    <w:rsid w:val="00B2799F"/>
    <w:rsid w:val="00BC534E"/>
    <w:rsid w:val="00C0325B"/>
    <w:rsid w:val="00C306DD"/>
    <w:rsid w:val="00C42324"/>
    <w:rsid w:val="00CB0AD2"/>
    <w:rsid w:val="00CF2711"/>
    <w:rsid w:val="00D44D19"/>
    <w:rsid w:val="00D677FD"/>
    <w:rsid w:val="00DA3DE1"/>
    <w:rsid w:val="00DC0033"/>
    <w:rsid w:val="00DD6EEC"/>
    <w:rsid w:val="00DE6A6E"/>
    <w:rsid w:val="00E752AD"/>
    <w:rsid w:val="00E86495"/>
    <w:rsid w:val="00EC3009"/>
    <w:rsid w:val="00F51CB3"/>
    <w:rsid w:val="00F84AEF"/>
    <w:rsid w:val="00FA261A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BB769"/>
  <w15:chartTrackingRefBased/>
  <w15:docId w15:val="{E64B0592-1F16-4A51-A6EF-907CC4D3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A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4D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8T14:51:41.70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1633 1334 24575,'-15'-1'0,"1"-1"0,-1 0 0,-18-6 0,4 1 0,0 0 0,1-1 0,0-1 0,0-2 0,1 0 0,1-2 0,0-1 0,-26-19 0,3 2 0,-56-41 0,92 61 0,0 0 0,1-1 0,0-1 0,1 1 0,-15-23 0,4-3 0,1-1 0,2-1 0,-25-76 0,22 42 0,-16-101 0,35 161 0,2-1 0,0 1 0,1-1 0,0 1 0,1-1 0,0 1 0,2-1 0,0 1 0,0 0 0,1 0 0,1 0 0,0 1 0,1 0 0,9-16 0,-11 21 0,-1 1 0,0-1 0,-1 0 0,1 0 0,-2 0 0,1 0 0,-1 0 0,0 0 0,-1-1 0,0 1 0,0 0 0,-1 0 0,0-1 0,0 1 0,-1 0 0,0 0 0,0 0 0,-1 0 0,0 1 0,-1-1 0,1 1 0,-6-8 0,4 10 0,0 1 0,-1-1 0,1 1 0,-1 0 0,0 1 0,0-1 0,-13-4 0,-47-16 0,10 9 0,0 3 0,0 2 0,-1 3 0,0 2 0,-62 4 0,98 1-1365,3 0-5461</inkml:trace>
  <inkml:trace contextRef="#ctx0" brushRef="#br0" timeOffset="2752.29">1653 1418 24575,'-48'0'0,"7"-1"0,-56 6 0,84-3 0,0 0 0,-1 1 0,1 0 0,1 1 0,-1 1 0,0 0 0,1 1 0,-14 8 0,10-4 0,0 1 0,0 1 0,1 0 0,0 1 0,1 1 0,1 0 0,0 1 0,1 0 0,1 1 0,0 0 0,1 1 0,-13 31 0,0 9 0,-22 79 0,37-103 0,1 0 0,2 1 0,2-1 0,0 38 0,4-57 0,-2 1 0,1 0 0,-2 0 0,0 0 0,0 0 0,-2-1 0,0 1 0,0-1 0,-1 0 0,-1-1 0,-1 1 0,0-1 0,0 0 0,-1-1 0,-1 1 0,0-2 0,-1 1 0,0-1 0,0-1 0,-2 0 0,1 0 0,-1-1 0,-20 11 0,4-4 0,-1-2 0,0-1 0,-1-2 0,-1-1 0,-60 13 0,34-15 0,0-2 0,-83-2 0,107-5 0,1-2 0,-39-7 0,24 2 0,17 4 0,0-2 0,1-1 0,-1-2 0,-34-14 0,50 17-1365,0 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610</Words>
  <Characters>4027</Characters>
  <Application>Microsoft Office Word</Application>
  <DocSecurity>0</DocSecurity>
  <Lines>80</Lines>
  <Paragraphs>55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 Dickson</dc:creator>
  <cp:keywords/>
  <dc:description/>
  <cp:lastModifiedBy>Paris Dickson</cp:lastModifiedBy>
  <cp:revision>53</cp:revision>
  <dcterms:created xsi:type="dcterms:W3CDTF">2024-10-28T12:43:00Z</dcterms:created>
  <dcterms:modified xsi:type="dcterms:W3CDTF">2024-10-29T10:07:00Z</dcterms:modified>
</cp:coreProperties>
</file>